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B0534B">
      <w:pPr>
        <w:pStyle w:val="2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814D26">
        <w:rPr>
          <w:rFonts w:ascii="Times New Roman" w:hAnsi="Times New Roman" w:cs="Times New Roman"/>
          <w:sz w:val="24"/>
          <w:szCs w:val="24"/>
        </w:rPr>
        <w:t>запроса ценовых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65447B">
        <w:rPr>
          <w:rFonts w:ascii="Times New Roman" w:hAnsi="Times New Roman" w:cs="Times New Roman"/>
          <w:sz w:val="24"/>
          <w:szCs w:val="24"/>
        </w:rPr>
        <w:t>2</w:t>
      </w:r>
      <w:r w:rsidR="00B81EDA">
        <w:rPr>
          <w:rFonts w:ascii="Times New Roman" w:hAnsi="Times New Roman" w:cs="Times New Roman"/>
          <w:sz w:val="24"/>
          <w:szCs w:val="24"/>
        </w:rPr>
        <w:t>1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B81EDA">
        <w:rPr>
          <w:rFonts w:ascii="Times New Roman" w:hAnsi="Times New Roman" w:cs="Times New Roman"/>
          <w:sz w:val="24"/>
          <w:szCs w:val="24"/>
          <w:lang w:val="kk-KZ"/>
        </w:rPr>
        <w:t>05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8613C9">
        <w:rPr>
          <w:rFonts w:ascii="Times New Roman" w:hAnsi="Times New Roman" w:cs="Times New Roman"/>
          <w:sz w:val="24"/>
          <w:szCs w:val="24"/>
        </w:rPr>
        <w:t>0</w:t>
      </w:r>
      <w:r w:rsidR="00B81EDA">
        <w:rPr>
          <w:rFonts w:ascii="Times New Roman" w:hAnsi="Times New Roman" w:cs="Times New Roman"/>
          <w:sz w:val="24"/>
          <w:szCs w:val="24"/>
        </w:rPr>
        <w:t>6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01122F" w:rsidRPr="00B2252C">
        <w:t>1</w:t>
      </w:r>
      <w:r w:rsidR="00987254">
        <w:t>1:0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E6732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Р.Е. Абишев,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311" w:type="dxa"/>
        <w:tblInd w:w="93" w:type="dxa"/>
        <w:tblLook w:val="04A0" w:firstRow="1" w:lastRow="0" w:firstColumn="1" w:lastColumn="0" w:noHBand="0" w:noVBand="1"/>
      </w:tblPr>
      <w:tblGrid>
        <w:gridCol w:w="505"/>
        <w:gridCol w:w="2062"/>
        <w:gridCol w:w="2977"/>
        <w:gridCol w:w="725"/>
        <w:gridCol w:w="1016"/>
        <w:gridCol w:w="1519"/>
        <w:gridCol w:w="1507"/>
      </w:tblGrid>
      <w:tr w:rsidR="00B81EDA" w:rsidRPr="00B81EDA" w:rsidTr="00B81EDA">
        <w:trPr>
          <w:trHeight w:val="469"/>
        </w:trPr>
        <w:tc>
          <w:tcPr>
            <w:tcW w:w="103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Свод потребности лекарственных сре</w:t>
            </w:r>
            <w:proofErr w:type="gramStart"/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дств в р</w:t>
            </w:r>
            <w:proofErr w:type="gramEnd"/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амках ГОБМП на 2023 год.</w:t>
            </w:r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81EDA" w:rsidRPr="00B81EDA" w:rsidTr="00B81EDA">
        <w:trPr>
          <w:trHeight w:val="300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Технические характеристики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1EDA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B81EDA" w:rsidRPr="00B81EDA" w:rsidTr="00B81EDA">
        <w:trPr>
          <w:trHeight w:val="30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81EDA" w:rsidRPr="00B81EDA" w:rsidTr="00B81EDA">
        <w:trPr>
          <w:trHeight w:val="391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Шипцы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биопсийные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>, тип ГАСТРО, АЛЛИГАТОР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Шипцы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биопсийные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, тип ГАСТРО, АЛЛИГАТОР, в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метталическом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81EDA">
              <w:rPr>
                <w:rFonts w:ascii="Times New Roman" w:eastAsia="Times New Roman" w:hAnsi="Times New Roman" w:cs="Times New Roman"/>
              </w:rPr>
              <w:t>тубусе</w:t>
            </w:r>
            <w:proofErr w:type="gramEnd"/>
            <w:r w:rsidRPr="00B81EDA">
              <w:rPr>
                <w:rFonts w:ascii="Times New Roman" w:eastAsia="Times New Roman" w:hAnsi="Times New Roman" w:cs="Times New Roman"/>
              </w:rPr>
              <w:t xml:space="preserve"> покрытом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тефлоном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желтого цвета для обеспечения снижения коэффициента трения и плавного введения в канал эндоскопа, повышенная гибкость для легкого введения при сильных изгибах эндоскопа, изделие различимо при рентгеноскопии,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фенестрированные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однократного применения, без иглы, диаметр 2,3мм, для рабочего канала 2,8мм, длина 1800 мм, цветовая маркировка области применения на стерильной упаковке , 10 штук в упаковке. В комплекте со стерильной ложечкой для извлечения биоптата.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уп</w:t>
            </w:r>
            <w:proofErr w:type="spell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>90 000,00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>90 000,00</w:t>
            </w:r>
          </w:p>
        </w:tc>
      </w:tr>
      <w:tr w:rsidR="00B81EDA" w:rsidRPr="00B81EDA" w:rsidTr="00B81EDA">
        <w:trPr>
          <w:trHeight w:val="170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 xml:space="preserve">Устройство для </w:t>
            </w:r>
            <w:proofErr w:type="gramStart"/>
            <w:r w:rsidRPr="00B81EDA">
              <w:rPr>
                <w:rFonts w:ascii="Times New Roman" w:eastAsia="Times New Roman" w:hAnsi="Times New Roman" w:cs="Times New Roman"/>
              </w:rPr>
              <w:t>экспресс-диагностики</w:t>
            </w:r>
            <w:proofErr w:type="gram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хеликобактериоза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уреазной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активности биоптата(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>) тест система ХЕЛПИЛ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 xml:space="preserve">Тест-система ХЕЛПИЛ Устройство для </w:t>
            </w:r>
            <w:proofErr w:type="gramStart"/>
            <w:r w:rsidRPr="00B81EDA">
              <w:rPr>
                <w:rFonts w:ascii="Times New Roman" w:eastAsia="Times New Roman" w:hAnsi="Times New Roman" w:cs="Times New Roman"/>
              </w:rPr>
              <w:t>экспресс-диагностики</w:t>
            </w:r>
            <w:proofErr w:type="gram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хеликобактериоза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уреазной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активности биоптата (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>)                                                   (Лента на 21 обследования)                                                                     В 1 упаковке 10 шт.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B81EDA"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 xml:space="preserve">   8 800,00  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 xml:space="preserve">   440 000,00   </w:t>
            </w:r>
          </w:p>
        </w:tc>
      </w:tr>
      <w:tr w:rsidR="00B81EDA" w:rsidRPr="00B81EDA" w:rsidTr="00B81EDA">
        <w:trPr>
          <w:trHeight w:val="403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1EDA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EDA" w:rsidRPr="00B81EDA" w:rsidRDefault="00B81EDA" w:rsidP="00AB7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1EDA">
              <w:rPr>
                <w:rFonts w:ascii="Times New Roman" w:eastAsia="Times New Roman" w:hAnsi="Times New Roman" w:cs="Times New Roman"/>
                <w:b/>
              </w:rPr>
              <w:t>530 000,00</w:t>
            </w:r>
          </w:p>
        </w:tc>
      </w:tr>
      <w:tr w:rsidR="00B81EDA" w:rsidRPr="00B81EDA" w:rsidTr="00B81EDA">
        <w:trPr>
          <w:trHeight w:val="26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EDA" w:rsidRPr="00B81EDA" w:rsidRDefault="00B81EDA" w:rsidP="00AB7507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EDA" w:rsidRPr="00B81EDA" w:rsidRDefault="00B81EDA" w:rsidP="00AB7507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1EDA" w:rsidRPr="00B81EDA" w:rsidRDefault="00B81EDA" w:rsidP="00AB750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8789"/>
      </w:tblGrid>
      <w:tr w:rsidR="00516BBC" w:rsidRPr="00B2252C" w:rsidTr="00516BBC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065E61" w:rsidRPr="00B2252C" w:rsidTr="00516BBC">
        <w:tc>
          <w:tcPr>
            <w:tcW w:w="817" w:type="dxa"/>
          </w:tcPr>
          <w:p w:rsidR="00065E61" w:rsidRDefault="00065E61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065E61" w:rsidRPr="00065E61" w:rsidRDefault="00065E61" w:rsidP="00B81ED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="00B81ED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ФармГранд</w:t>
            </w:r>
            <w:proofErr w:type="spellEnd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4962" w:type="dxa"/>
          </w:tcPr>
          <w:p w:rsidR="00965B85" w:rsidRPr="00B2252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8C5E9E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lastRenderedPageBreak/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527"/>
        <w:gridCol w:w="3298"/>
        <w:gridCol w:w="713"/>
        <w:gridCol w:w="2441"/>
        <w:gridCol w:w="2627"/>
      </w:tblGrid>
      <w:tr w:rsidR="004536C4" w:rsidRPr="0058417F" w:rsidTr="00B81EDA">
        <w:trPr>
          <w:trHeight w:val="497"/>
          <w:jc w:val="center"/>
        </w:trPr>
        <w:tc>
          <w:tcPr>
            <w:tcW w:w="527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3298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2441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2627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0B588B" w:rsidRPr="0058417F" w:rsidTr="00B81EDA">
        <w:trPr>
          <w:trHeight w:val="350"/>
          <w:jc w:val="center"/>
        </w:trPr>
        <w:tc>
          <w:tcPr>
            <w:tcW w:w="527" w:type="dxa"/>
          </w:tcPr>
          <w:p w:rsidR="000B588B" w:rsidRPr="0058417F" w:rsidRDefault="000B588B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8" w:type="dxa"/>
          </w:tcPr>
          <w:p w:rsidR="000B588B" w:rsidRPr="0058417F" w:rsidRDefault="00B8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ФармГранд</w:t>
            </w:r>
            <w:proofErr w:type="spellEnd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B588B" w:rsidRPr="0058417F" w:rsidRDefault="000B588B" w:rsidP="005B53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1" w:type="dxa"/>
            <w:vAlign w:val="center"/>
          </w:tcPr>
          <w:p w:rsidR="000B588B" w:rsidRPr="0058417F" w:rsidRDefault="00B81EDA" w:rsidP="00BF2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2627" w:type="dxa"/>
            <w:vAlign w:val="center"/>
          </w:tcPr>
          <w:p w:rsidR="000B588B" w:rsidRPr="0058417F" w:rsidRDefault="00B81EDA" w:rsidP="000B58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Шипцы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биопсийные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>, тип ГАСТРО, АЛЛИГАТОР</w:t>
            </w:r>
          </w:p>
        </w:tc>
      </w:tr>
      <w:tr w:rsidR="000B588B" w:rsidRPr="0058417F" w:rsidTr="00B81EDA">
        <w:trPr>
          <w:trHeight w:val="350"/>
          <w:jc w:val="center"/>
        </w:trPr>
        <w:tc>
          <w:tcPr>
            <w:tcW w:w="527" w:type="dxa"/>
          </w:tcPr>
          <w:p w:rsidR="000B588B" w:rsidRPr="0058417F" w:rsidRDefault="000B588B" w:rsidP="004536C4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3298" w:type="dxa"/>
          </w:tcPr>
          <w:p w:rsidR="000B588B" w:rsidRPr="0058417F" w:rsidRDefault="00B81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ФармГранд</w:t>
            </w:r>
            <w:proofErr w:type="spellEnd"/>
            <w:r w:rsidRPr="00065E6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B588B" w:rsidRPr="0058417F" w:rsidRDefault="000B588B" w:rsidP="005B53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0B588B" w:rsidRPr="0058417F" w:rsidRDefault="00B81EDA" w:rsidP="00F81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8 800</w:t>
            </w:r>
            <w:bookmarkStart w:id="0" w:name="_GoBack"/>
            <w:bookmarkEnd w:id="0"/>
          </w:p>
        </w:tc>
        <w:tc>
          <w:tcPr>
            <w:tcW w:w="2627" w:type="dxa"/>
            <w:vAlign w:val="center"/>
          </w:tcPr>
          <w:p w:rsidR="000B588B" w:rsidRPr="0058417F" w:rsidRDefault="00B81EDA" w:rsidP="005841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EDA">
              <w:rPr>
                <w:rFonts w:ascii="Times New Roman" w:eastAsia="Times New Roman" w:hAnsi="Times New Roman" w:cs="Times New Roman"/>
              </w:rPr>
              <w:t xml:space="preserve">Устройство для </w:t>
            </w:r>
            <w:proofErr w:type="gramStart"/>
            <w:r w:rsidRPr="00B81EDA">
              <w:rPr>
                <w:rFonts w:ascii="Times New Roman" w:eastAsia="Times New Roman" w:hAnsi="Times New Roman" w:cs="Times New Roman"/>
              </w:rPr>
              <w:t>экспресс-диагностики</w:t>
            </w:r>
            <w:proofErr w:type="gram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хеликобактериоза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по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уреазной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активности биоптата(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81EDA">
              <w:rPr>
                <w:rFonts w:ascii="Times New Roman" w:eastAsia="Times New Roman" w:hAnsi="Times New Roman" w:cs="Times New Roman"/>
              </w:rPr>
              <w:t>vitro</w:t>
            </w:r>
            <w:proofErr w:type="spellEnd"/>
            <w:r w:rsidRPr="00B81EDA">
              <w:rPr>
                <w:rFonts w:ascii="Times New Roman" w:eastAsia="Times New Roman" w:hAnsi="Times New Roman" w:cs="Times New Roman"/>
              </w:rPr>
              <w:t>) тест система ХЕЛПИЛ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944EE1">
        <w:rPr>
          <w:bCs/>
          <w:lang w:val="kk-KZ"/>
        </w:rPr>
        <w:t>Н.Н. Валитова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Pr="00B2252C">
        <w:rPr>
          <w:bCs/>
          <w:lang w:val="kk-KZ"/>
        </w:rPr>
        <w:t xml:space="preserve">Р.Е. Абишев,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8613C9">
        <w:rPr>
          <w:rFonts w:ascii="Times New Roman" w:hAnsi="Times New Roman" w:cs="Times New Roman"/>
          <w:bCs/>
          <w:sz w:val="24"/>
          <w:szCs w:val="24"/>
          <w:lang w:val="kk-KZ"/>
        </w:rPr>
        <w:t>Н.Н. Валитова</w:t>
      </w: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4.__________ Р.Е. Абишев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BC3EC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91A02"/>
    <w:rsid w:val="000947F6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8417F"/>
    <w:rsid w:val="00596AA7"/>
    <w:rsid w:val="005B5386"/>
    <w:rsid w:val="005D5EF3"/>
    <w:rsid w:val="0065447B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B6A7E"/>
    <w:rsid w:val="008C5E9E"/>
    <w:rsid w:val="008D63A1"/>
    <w:rsid w:val="00944EE1"/>
    <w:rsid w:val="00965B85"/>
    <w:rsid w:val="00987254"/>
    <w:rsid w:val="00A023AC"/>
    <w:rsid w:val="00A35A39"/>
    <w:rsid w:val="00A4428D"/>
    <w:rsid w:val="00A736DF"/>
    <w:rsid w:val="00A95565"/>
    <w:rsid w:val="00AB0CD4"/>
    <w:rsid w:val="00AB4001"/>
    <w:rsid w:val="00B0534B"/>
    <w:rsid w:val="00B17A30"/>
    <w:rsid w:val="00B2252C"/>
    <w:rsid w:val="00B508AF"/>
    <w:rsid w:val="00B81EDA"/>
    <w:rsid w:val="00BC3EC9"/>
    <w:rsid w:val="00BE6732"/>
    <w:rsid w:val="00BF2F8A"/>
    <w:rsid w:val="00CB5034"/>
    <w:rsid w:val="00D220CF"/>
    <w:rsid w:val="00D37EC1"/>
    <w:rsid w:val="00D86EF9"/>
    <w:rsid w:val="00DB2198"/>
    <w:rsid w:val="00E01167"/>
    <w:rsid w:val="00E67292"/>
    <w:rsid w:val="00F01CAE"/>
    <w:rsid w:val="00F235B3"/>
    <w:rsid w:val="00F7764E"/>
    <w:rsid w:val="00F810FE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38</cp:revision>
  <cp:lastPrinted>2023-05-15T05:50:00Z</cp:lastPrinted>
  <dcterms:created xsi:type="dcterms:W3CDTF">2022-01-20T06:27:00Z</dcterms:created>
  <dcterms:modified xsi:type="dcterms:W3CDTF">2023-06-05T08:13:00Z</dcterms:modified>
</cp:coreProperties>
</file>